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color w:val="3362B0"/>
          <w:sz w:val="32"/>
        </w:rPr>
        <w:t>Чек-лист: суд или МФЦ — какой путь списания кредитов</w:t>
      </w:r>
    </w:p>
    <w:p>
      <w:r>
        <w:rPr>
          <w:rFonts w:ascii="Times New Roman" w:hAnsi="Times New Roman"/>
          <w:b w:val="0"/>
          <w:i/>
          <w:sz w:val="20"/>
        </w:rPr>
        <w:t>Рабочая памятка к статье «Как списать долги по кредитам». Не заменяет разбор дела. Ориентир — Закон № 127-ФЗ.</w:t>
      </w:r>
    </w:p>
    <w:p>
      <w:r>
        <w:rPr>
          <w:rFonts w:ascii="Times New Roman" w:hAnsi="Times New Roman"/>
          <w:b/>
          <w:color w:val="3362B0"/>
          <w:sz w:val="26"/>
        </w:rPr>
        <w:t>1. Сначала зафиксируйте цифры</w:t>
      </w:r>
    </w:p>
    <w:p>
      <w:pPr>
        <w:pStyle w:val="ListBullet"/>
      </w:pPr>
      <w:r>
        <w:rPr>
          <w:rFonts w:ascii="Times New Roman" w:hAnsi="Times New Roman"/>
          <w:b/>
          <w:sz w:val="22"/>
        </w:rPr>
        <w:t>Посчитайте</w:t>
      </w:r>
      <w:r>
        <w:rPr>
          <w:rFonts w:ascii="Times New Roman" w:hAnsi="Times New Roman"/>
          <w:b w:val="0"/>
          <w:sz w:val="22"/>
        </w:rPr>
        <w:t xml:space="preserve"> общую сумму всех кредитов, карт, микрозаймов, расписок;</w:t>
      </w:r>
    </w:p>
    <w:p>
      <w:pPr>
        <w:pStyle w:val="ListBullet"/>
      </w:pPr>
      <w:r>
        <w:rPr>
          <w:rFonts w:ascii="Times New Roman" w:hAnsi="Times New Roman"/>
          <w:b/>
          <w:sz w:val="22"/>
        </w:rPr>
        <w:t>Проверьте</w:t>
      </w:r>
      <w:r>
        <w:rPr>
          <w:rFonts w:ascii="Times New Roman" w:hAnsi="Times New Roman"/>
          <w:b w:val="0"/>
          <w:sz w:val="22"/>
        </w:rPr>
        <w:t xml:space="preserve"> есть ли просрочка и исполнительные производства у приставов;</w:t>
      </w:r>
    </w:p>
    <w:p>
      <w:pPr>
        <w:pStyle w:val="ListBullet"/>
      </w:pPr>
      <w:r>
        <w:rPr>
          <w:rFonts w:ascii="Times New Roman" w:hAnsi="Times New Roman"/>
          <w:b/>
          <w:sz w:val="22"/>
        </w:rPr>
        <w:t>Отметьте</w:t>
      </w:r>
      <w:r>
        <w:rPr>
          <w:rFonts w:ascii="Times New Roman" w:hAnsi="Times New Roman"/>
          <w:b w:val="0"/>
          <w:sz w:val="22"/>
        </w:rPr>
        <w:t xml:space="preserve"> есть ли доход/имущество кроме единственного жилья.</w:t>
      </w:r>
    </w:p>
    <w:p>
      <w:r>
        <w:rPr>
          <w:rFonts w:ascii="Times New Roman" w:hAnsi="Times New Roman"/>
          <w:b/>
          <w:color w:val="3362B0"/>
          <w:sz w:val="26"/>
        </w:rPr>
        <w:t>2. Быстрая развилка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rFonts w:ascii="Times New Roman" w:hAnsi="Times New Roman"/>
                <w:b/>
                <w:sz w:val="20"/>
              </w:rPr>
              <w:t>Параметр</w:t>
            </w:r>
          </w:p>
        </w:tc>
        <w:tc>
          <w:tcPr>
            <w:tcW w:type="dxa" w:w="2880"/>
          </w:tcPr>
          <w:p>
            <w:r>
              <w:rPr>
                <w:rFonts w:ascii="Times New Roman" w:hAnsi="Times New Roman"/>
                <w:b/>
                <w:sz w:val="20"/>
              </w:rPr>
              <w:t>Суд</w:t>
            </w:r>
          </w:p>
        </w:tc>
        <w:tc>
          <w:tcPr>
            <w:tcW w:type="dxa" w:w="2880"/>
          </w:tcPr>
          <w:p>
            <w:r>
              <w:rPr>
                <w:rFonts w:ascii="Times New Roman" w:hAnsi="Times New Roman"/>
                <w:b/>
                <w:sz w:val="20"/>
              </w:rPr>
              <w:t>МФЦ (внесудебно)</w:t>
            </w:r>
          </w:p>
        </w:tc>
      </w:tr>
      <w:tr>
        <w:tc>
          <w:tcPr>
            <w:tcW w:type="dxa" w:w="2880"/>
          </w:tcPr>
          <w:p>
            <w:r>
              <w:rPr>
                <w:rFonts w:ascii="Times New Roman" w:hAnsi="Times New Roman"/>
                <w:b/>
                <w:sz w:val="20"/>
              </w:rPr>
              <w:t>Сумма долгов</w:t>
            </w:r>
          </w:p>
        </w:tc>
        <w:tc>
          <w:tcPr>
            <w:tcW w:type="dxa" w:w="2880"/>
          </w:tcPr>
          <w:p>
            <w:r>
              <w:rPr>
                <w:rFonts w:ascii="Times New Roman" w:hAnsi="Times New Roman"/>
                <w:b w:val="0"/>
                <w:sz w:val="20"/>
              </w:rPr>
              <w:t>Любая; на практике чаще от 300–500 тыс. ₽</w:t>
            </w:r>
          </w:p>
        </w:tc>
        <w:tc>
          <w:tcPr>
            <w:tcW w:type="dxa" w:w="2880"/>
          </w:tcPr>
          <w:p>
            <w:r>
              <w:rPr>
                <w:rFonts w:ascii="Times New Roman" w:hAnsi="Times New Roman"/>
                <w:b w:val="0"/>
                <w:sz w:val="20"/>
              </w:rPr>
              <w:t>От 25 000 до 1 000 000 ₽</w:t>
            </w:r>
          </w:p>
        </w:tc>
      </w:tr>
      <w:tr>
        <w:tc>
          <w:tcPr>
            <w:tcW w:type="dxa" w:w="2880"/>
          </w:tcPr>
          <w:p>
            <w:r>
              <w:rPr>
                <w:rFonts w:ascii="Times New Roman" w:hAnsi="Times New Roman"/>
                <w:b/>
                <w:sz w:val="20"/>
              </w:rPr>
              <w:t>Стоимость</w:t>
            </w:r>
          </w:p>
        </w:tc>
        <w:tc>
          <w:tcPr>
            <w:tcW w:type="dxa" w:w="2880"/>
          </w:tcPr>
          <w:p>
            <w:r>
              <w:rPr>
                <w:rFonts w:ascii="Times New Roman" w:hAnsi="Times New Roman"/>
                <w:b w:val="0"/>
                <w:sz w:val="20"/>
              </w:rPr>
              <w:t>Депозит, публикации, управляющий</w:t>
            </w:r>
          </w:p>
        </w:tc>
        <w:tc>
          <w:tcPr>
            <w:tcW w:type="dxa" w:w="2880"/>
          </w:tcPr>
          <w:p>
            <w:r>
              <w:rPr>
                <w:rFonts w:ascii="Times New Roman" w:hAnsi="Times New Roman"/>
                <w:b w:val="0"/>
                <w:sz w:val="20"/>
              </w:rPr>
              <w:t>Бесплатно</w:t>
            </w:r>
          </w:p>
        </w:tc>
      </w:tr>
      <w:tr>
        <w:tc>
          <w:tcPr>
            <w:tcW w:type="dxa" w:w="2880"/>
          </w:tcPr>
          <w:p>
            <w:r>
              <w:rPr>
                <w:rFonts w:ascii="Times New Roman" w:hAnsi="Times New Roman"/>
                <w:b/>
                <w:sz w:val="20"/>
              </w:rPr>
              <w:t>Основание</w:t>
            </w:r>
          </w:p>
        </w:tc>
        <w:tc>
          <w:tcPr>
            <w:tcW w:type="dxa" w:w="2880"/>
          </w:tcPr>
          <w:p>
            <w:r>
              <w:rPr>
                <w:rFonts w:ascii="Times New Roman" w:hAnsi="Times New Roman"/>
                <w:b w:val="0"/>
                <w:sz w:val="20"/>
              </w:rPr>
              <w:t>Неплатёжеспособность / недостаточность имущества</w:t>
            </w:r>
          </w:p>
        </w:tc>
        <w:tc>
          <w:tcPr>
            <w:tcW w:type="dxa" w:w="2880"/>
          </w:tcPr>
          <w:p>
            <w:r>
              <w:rPr>
                <w:rFonts w:ascii="Times New Roman" w:hAnsi="Times New Roman"/>
                <w:b w:val="0"/>
                <w:sz w:val="20"/>
              </w:rPr>
              <w:t>Строгое основание по ст. 223.2 (часто — оконченное ИП)</w:t>
            </w:r>
          </w:p>
        </w:tc>
      </w:tr>
      <w:tr>
        <w:tc>
          <w:tcPr>
            <w:tcW w:type="dxa" w:w="2880"/>
          </w:tcPr>
          <w:p>
            <w:r>
              <w:rPr>
                <w:rFonts w:ascii="Times New Roman" w:hAnsi="Times New Roman"/>
                <w:b/>
                <w:sz w:val="20"/>
              </w:rPr>
              <w:t>Срок ориентир</w:t>
            </w:r>
          </w:p>
        </w:tc>
        <w:tc>
          <w:tcPr>
            <w:tcW w:type="dxa" w:w="2880"/>
          </w:tcPr>
          <w:p>
            <w:r>
              <w:rPr>
                <w:rFonts w:ascii="Times New Roman" w:hAnsi="Times New Roman"/>
                <w:b w:val="0"/>
                <w:sz w:val="20"/>
              </w:rPr>
              <w:t>Часто 6–10 месяцев</w:t>
            </w:r>
          </w:p>
        </w:tc>
        <w:tc>
          <w:tcPr>
            <w:tcW w:type="dxa" w:w="2880"/>
          </w:tcPr>
          <w:p>
            <w:r>
              <w:rPr>
                <w:rFonts w:ascii="Times New Roman" w:hAnsi="Times New Roman"/>
                <w:b w:val="0"/>
                <w:sz w:val="20"/>
              </w:rPr>
              <w:t>Ровно 6 месяцев</w:t>
            </w:r>
          </w:p>
        </w:tc>
      </w:tr>
      <w:tr>
        <w:tc>
          <w:tcPr>
            <w:tcW w:type="dxa" w:w="2880"/>
          </w:tcPr>
          <w:p>
            <w:r>
              <w:rPr>
                <w:rFonts w:ascii="Times New Roman" w:hAnsi="Times New Roman"/>
                <w:b/>
                <w:sz w:val="20"/>
              </w:rPr>
              <w:t>Куда</w:t>
            </w:r>
          </w:p>
        </w:tc>
        <w:tc>
          <w:tcPr>
            <w:tcW w:type="dxa" w:w="2880"/>
          </w:tcPr>
          <w:p>
            <w:r>
              <w:rPr>
                <w:rFonts w:ascii="Times New Roman" w:hAnsi="Times New Roman"/>
                <w:b w:val="0"/>
                <w:sz w:val="20"/>
              </w:rPr>
              <w:t>Арбитражный суд</w:t>
            </w:r>
          </w:p>
        </w:tc>
        <w:tc>
          <w:tcPr>
            <w:tcW w:type="dxa" w:w="2880"/>
          </w:tcPr>
          <w:p>
            <w:r>
              <w:rPr>
                <w:rFonts w:ascii="Times New Roman" w:hAnsi="Times New Roman"/>
                <w:b w:val="0"/>
                <w:sz w:val="20"/>
              </w:rPr>
              <w:t>МФЦ по месту жительства</w:t>
            </w:r>
          </w:p>
        </w:tc>
      </w:tr>
    </w:tbl>
    <w:p>
      <w:r>
        <w:rPr>
          <w:rFonts w:ascii="Times New Roman" w:hAnsi="Times New Roman"/>
          <w:b/>
          <w:color w:val="3362B0"/>
          <w:sz w:val="26"/>
        </w:rPr>
        <w:t>3. Чек-лист перед выбором</w:t>
      </w:r>
    </w:p>
    <w:p>
      <w:pPr>
        <w:pStyle w:val="ListBullet"/>
      </w:pPr>
      <w:r>
        <w:rPr>
          <w:rFonts w:ascii="Times New Roman" w:hAnsi="Times New Roman"/>
          <w:b/>
          <w:sz w:val="22"/>
        </w:rPr>
        <w:t>Если</w:t>
      </w:r>
      <w:r>
        <w:rPr>
          <w:rFonts w:ascii="Times New Roman" w:hAnsi="Times New Roman"/>
          <w:b w:val="0"/>
          <w:sz w:val="22"/>
        </w:rPr>
        <w:t xml:space="preserve"> долг &gt; 1 млн ₽ или нет основания для МФЦ → судебный путь.</w:t>
      </w:r>
    </w:p>
    <w:p>
      <w:pPr>
        <w:pStyle w:val="ListBullet"/>
      </w:pPr>
      <w:r>
        <w:rPr>
          <w:rFonts w:ascii="Times New Roman" w:hAnsi="Times New Roman"/>
          <w:b/>
          <w:sz w:val="22"/>
        </w:rPr>
        <w:t>Если</w:t>
      </w:r>
      <w:r>
        <w:rPr>
          <w:rFonts w:ascii="Times New Roman" w:hAnsi="Times New Roman"/>
          <w:b w:val="0"/>
          <w:sz w:val="22"/>
        </w:rPr>
        <w:t xml:space="preserve"> долг 25 тыс.–1 млн ₽ и есть основание → сначала МФЦ.</w:t>
      </w:r>
    </w:p>
    <w:p>
      <w:pPr>
        <w:pStyle w:val="ListBullet"/>
      </w:pPr>
      <w:r>
        <w:rPr>
          <w:rFonts w:ascii="Times New Roman" w:hAnsi="Times New Roman"/>
          <w:b/>
          <w:sz w:val="22"/>
        </w:rPr>
        <w:t>Если</w:t>
      </w:r>
      <w:r>
        <w:rPr>
          <w:rFonts w:ascii="Times New Roman" w:hAnsi="Times New Roman"/>
          <w:b w:val="0"/>
          <w:sz w:val="22"/>
        </w:rPr>
        <w:t xml:space="preserve"> список кредиторов неполный / сделки за 3 года спорные → не подавайтесь «наугад».</w:t>
      </w:r>
    </w:p>
    <w:p>
      <w:r>
        <w:rPr>
          <w:rFonts w:ascii="Times New Roman" w:hAnsi="Times New Roman"/>
          <w:b w:val="0"/>
          <w:i/>
          <w:sz w:val="20"/>
        </w:rPr>
        <w:t>Материал справочный. Нормы и суммы сверяйте по актуальной редакции 127-ФЗ на дату обращения.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